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left="0" w:leftChars="0" w:right="0" w:rightChars="0" w:firstLine="4160" w:firstLineChars="13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160" w:firstLineChars="13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160" w:firstLineChars="1300"/>
        <w:jc w:val="both"/>
        <w:textAlignment w:val="baseline"/>
        <w:outlineLvl w:val="9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临发改城环函〔2022〕110号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         </w:t>
      </w:r>
      <w:r>
        <w:rPr>
          <w:rFonts w:hint="default" w:ascii="黑体" w:hAnsi="黑体" w:eastAsia="黑体" w:cs="黑体"/>
          <w:sz w:val="52"/>
          <w:szCs w:val="52"/>
          <w:lang w:val="en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A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关于市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政协五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次会议A类第0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44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提案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答复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尊敬的王东东代表：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您提出的“关于加快推进晋侯高铁项目的建议”已收悉，经认真研究，现答复如下：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90" w:firstLineChars="0"/>
        <w:jc w:val="both"/>
        <w:textAlignment w:val="baseline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晋侯城际铁路线路起自在建太焦城际晋城东站，途径晋城市城区、泽州县、阳城县、沁水县、翼城县、曲沃县、侯马市，在侯马西站西侧并站引入大西高铁。线路全长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169.008公里（其中晋城市线路长度103.75公里、临汾市线路长度65.258公里）。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本项目是西青通道的重要组成部分，承担着京昆、呼南通道的连接线功能，是晋东南、晋南地区的快速城际铁路。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二、工作进展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2020年5月，临汾市、晋城市共同委托中铁工程设计咨询集团有限公司开展了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侯马至晋城际铁路预可研工作。项目总体组多次赴临汾、晋城两市，分别与地方相关部门进行座谈，听取对本项目的意见并搜集地方最新经济、城市规划、交通运输、环保水保、风景名胜、文物古迹及铁路运输等方面的资料，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6月初完成预可研报告编制工作。7月上旬，在省发改委组织召开了临汾市、晋城市及相关县市区参加的预可研研究会议，会议原则通过该方案，并积极上报国家发改委和国铁集团，力争纳入国家铁路网规划。现已纳入《2021-2050年山西省铁路网规划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三、下一步工作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（一）我们将积极和相关部门对接，紧抓政策机遇，进一步加快该项目的推进，尽早完成前期工作，以利于纳入国铁集团路网规划，带动周边及沿线城镇社会经济快速发展。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（二）成立工作专班，</w:t>
      </w:r>
      <w:r>
        <w:rPr>
          <w:rFonts w:ascii="Times New Roman" w:hAnsi="Times New Roman" w:eastAsia="仿宋_GB2312"/>
          <w:color w:val="auto"/>
          <w:sz w:val="32"/>
          <w:szCs w:val="32"/>
        </w:rPr>
        <w:t>负责研究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制定推动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预可研报告研究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工作的办法举措，协调</w:t>
      </w:r>
      <w:r>
        <w:rPr>
          <w:rFonts w:ascii="Times New Roman" w:hAnsi="Times New Roman" w:eastAsia="仿宋_GB2312"/>
          <w:color w:val="auto"/>
          <w:sz w:val="32"/>
          <w:szCs w:val="32"/>
        </w:rPr>
        <w:t>解决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遇到的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矛盾</w:t>
      </w:r>
      <w:r>
        <w:rPr>
          <w:rFonts w:ascii="Times New Roman" w:hAnsi="Times New Roman" w:eastAsia="仿宋_GB2312"/>
          <w:color w:val="auto"/>
          <w:sz w:val="32"/>
          <w:szCs w:val="32"/>
        </w:rPr>
        <w:t>问题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与晋城市政府、预可研编制单位等部门协调对接,优化我市境内铁路途径线路及站点布局；组织侯马市、曲沃县、翼城县配合编制单位进行前期勘察工作，进一步优化预可行性研究工作报告。加快项目推进，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尽早完成上报。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为进一步加快推进全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铁路规划建设，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2022年初，根据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决策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政府成立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了临汾市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铁路规划建设工作领导小组。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目前已着手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编制临汾市铁路网规划，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对接国家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有关部门，调动各方面力量，推动全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铁路快速发展。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答复是否满意，如有意见，敬请反馈。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right="0" w:firstLine="64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  <w:u w:val="none"/>
        </w:rPr>
        <w:t>感谢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u w:val="none"/>
          <w:lang w:eastAsia="zh-CN"/>
        </w:rPr>
        <w:t>你们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u w:val="none"/>
          <w:lang w:eastAsia="zh-CN"/>
        </w:rPr>
        <w:t>交通领域工作的关心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  <w:u w:val="none"/>
        </w:rPr>
        <w:t>，欢迎今后提出更多的宝贵意见。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baseline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 责 人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640" w:firstLineChars="200"/>
        <w:jc w:val="both"/>
        <w:textAlignment w:val="baseline"/>
        <w:outlineLvl w:val="9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640" w:firstLineChars="200"/>
        <w:jc w:val="both"/>
        <w:textAlignment w:val="baseline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3520" w:firstLineChars="11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3840" w:firstLineChars="1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临汾市发展和改革委员会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53ED0"/>
    <w:rsid w:val="089C2212"/>
    <w:rsid w:val="14CD6F43"/>
    <w:rsid w:val="1DF99ADF"/>
    <w:rsid w:val="239B5C5E"/>
    <w:rsid w:val="28FA4004"/>
    <w:rsid w:val="2E974FAA"/>
    <w:rsid w:val="344168B7"/>
    <w:rsid w:val="3A1D21E5"/>
    <w:rsid w:val="3D3F3187"/>
    <w:rsid w:val="40B05EDF"/>
    <w:rsid w:val="68653ED0"/>
    <w:rsid w:val="68BC2A15"/>
    <w:rsid w:val="6FF947B7"/>
    <w:rsid w:val="73096C08"/>
    <w:rsid w:val="74DB1EC9"/>
    <w:rsid w:val="75DC46D8"/>
    <w:rsid w:val="77804945"/>
    <w:rsid w:val="79DFB242"/>
    <w:rsid w:val="7BF78655"/>
    <w:rsid w:val="7DBFED39"/>
    <w:rsid w:val="7FDF8021"/>
    <w:rsid w:val="82A7298B"/>
    <w:rsid w:val="EF9F14D4"/>
    <w:rsid w:val="F5FF9EC3"/>
    <w:rsid w:val="FF676A6C"/>
    <w:rsid w:val="FFBB6165"/>
    <w:rsid w:val="FFBF151A"/>
    <w:rsid w:val="FF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c正文"/>
    <w:qFormat/>
    <w:uiPriority w:val="0"/>
    <w:pPr>
      <w:widowControl w:val="0"/>
      <w:adjustRightInd w:val="0"/>
      <w:ind w:firstLine="200" w:firstLineChars="200"/>
      <w:jc w:val="both"/>
    </w:pPr>
    <w:rPr>
      <w:rFonts w:ascii="Calibri" w:hAnsi="Calibri" w:eastAsia="宋体" w:cs="Times New Roman"/>
      <w:snapToGrid w:val="0"/>
      <w:color w:val="333399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2020-07-17T16:19:00Z</dcterms:created>
  <dc:creator>Amour</dc:creator>
  <cp:lastModifiedBy>baixin</cp:lastModifiedBy>
  <cp:lastPrinted>2022-09-08T11:03:30Z</cp:lastPrinted>
  <dcterms:modified xsi:type="dcterms:W3CDTF">2022-09-08T11:03:58Z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